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D52A21">
      <w:pPr>
        <w:jc w:val="center"/>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z w:val="36"/>
          <w:szCs w:val="36"/>
          <w:lang w:val="en-US" w:eastAsia="zh-CN"/>
        </w:rPr>
        <w:t>中国人民银行安庆市分行</w:t>
      </w:r>
      <w:r>
        <w:rPr>
          <w:rFonts w:hint="eastAsia" w:ascii="方正小标宋_GBK" w:hAnsi="方正小标宋_GBK" w:eastAsia="方正小标宋_GBK" w:cs="方正小标宋_GBK"/>
          <w:sz w:val="36"/>
          <w:szCs w:val="36"/>
          <w:lang w:val="en-US"/>
        </w:rPr>
        <w:t>行政处罚决定信息公示表</w:t>
      </w:r>
      <w:r>
        <w:rPr>
          <w:rFonts w:hint="eastAsia" w:ascii="方正小标宋_GBK" w:hAnsi="方正小标宋_GBK" w:eastAsia="方正小标宋_GBK" w:cs="方正小标宋_GBK"/>
          <w:sz w:val="36"/>
          <w:szCs w:val="36"/>
          <w:lang w:val="en-US" w:eastAsia="zh-CN"/>
        </w:rPr>
        <w:t>（宜银罚决字〔2025〕1—2号）</w:t>
      </w:r>
    </w:p>
    <w:p w14:paraId="510701DC">
      <w:pPr>
        <w:rPr>
          <w:rFonts w:hint="eastAsia"/>
          <w:lang w:val="en-US"/>
        </w:rPr>
      </w:pP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1611"/>
        <w:gridCol w:w="1701"/>
        <w:gridCol w:w="2344"/>
        <w:gridCol w:w="1483"/>
        <w:gridCol w:w="1816"/>
        <w:gridCol w:w="1665"/>
        <w:gridCol w:w="1652"/>
        <w:gridCol w:w="1167"/>
      </w:tblGrid>
      <w:tr w14:paraId="2D407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dxa"/>
            <w:noWrap w:val="0"/>
            <w:vAlign w:val="center"/>
          </w:tcPr>
          <w:p w14:paraId="3FAD338C">
            <w:pPr>
              <w:jc w:val="center"/>
              <w:rPr>
                <w:rFonts w:hint="eastAsia" w:ascii="黑体" w:hAnsi="黑体" w:eastAsia="黑体"/>
                <w:sz w:val="22"/>
                <w:lang w:val="en-US" w:eastAsia="zh-CN"/>
              </w:rPr>
            </w:pPr>
            <w:r>
              <w:rPr>
                <w:rFonts w:hint="eastAsia" w:ascii="黑体" w:hAnsi="黑体" w:eastAsia="黑体"/>
                <w:sz w:val="22"/>
                <w:lang w:val="en-US" w:eastAsia="zh-CN"/>
              </w:rPr>
              <w:t>序号</w:t>
            </w:r>
          </w:p>
        </w:tc>
        <w:tc>
          <w:tcPr>
            <w:tcW w:w="1611" w:type="dxa"/>
            <w:noWrap w:val="0"/>
            <w:vAlign w:val="center"/>
          </w:tcPr>
          <w:p w14:paraId="5A20AFE1">
            <w:pPr>
              <w:jc w:val="center"/>
              <w:rPr>
                <w:rFonts w:hint="eastAsia" w:ascii="黑体" w:hAnsi="黑体" w:eastAsia="黑体"/>
                <w:sz w:val="22"/>
                <w:lang w:val="en-US" w:eastAsia="zh-CN"/>
              </w:rPr>
            </w:pPr>
            <w:r>
              <w:rPr>
                <w:rFonts w:hint="eastAsia" w:ascii="黑体" w:hAnsi="黑体" w:eastAsia="黑体"/>
                <w:sz w:val="22"/>
                <w:lang w:val="en-US" w:eastAsia="zh-CN"/>
              </w:rPr>
              <w:t>当事人名称（姓名、职务）</w:t>
            </w:r>
          </w:p>
        </w:tc>
        <w:tc>
          <w:tcPr>
            <w:tcW w:w="1701" w:type="dxa"/>
            <w:noWrap w:val="0"/>
            <w:vAlign w:val="center"/>
          </w:tcPr>
          <w:p w14:paraId="0324B228">
            <w:pPr>
              <w:jc w:val="center"/>
              <w:rPr>
                <w:rFonts w:hint="eastAsia" w:ascii="黑体" w:hAnsi="黑体" w:eastAsia="黑体"/>
                <w:sz w:val="22"/>
                <w:lang w:val="en-US" w:eastAsia="zh-CN"/>
              </w:rPr>
            </w:pPr>
            <w:r>
              <w:rPr>
                <w:rFonts w:hint="eastAsia" w:ascii="黑体" w:hAnsi="黑体" w:eastAsia="黑体"/>
                <w:sz w:val="22"/>
                <w:lang w:val="en-US" w:eastAsia="zh-CN"/>
              </w:rPr>
              <w:t>行政处罚</w:t>
            </w:r>
          </w:p>
          <w:p w14:paraId="5AF5609F">
            <w:pPr>
              <w:jc w:val="center"/>
              <w:rPr>
                <w:rFonts w:hint="eastAsia" w:ascii="黑体" w:hAnsi="黑体" w:eastAsia="黑体"/>
                <w:sz w:val="22"/>
                <w:lang w:val="en-US" w:eastAsia="zh-CN"/>
              </w:rPr>
            </w:pPr>
            <w:r>
              <w:rPr>
                <w:rFonts w:hint="eastAsia" w:ascii="黑体" w:hAnsi="黑体" w:eastAsia="黑体"/>
                <w:sz w:val="22"/>
                <w:lang w:val="en-US" w:eastAsia="zh-CN"/>
              </w:rPr>
              <w:t>决定书文号</w:t>
            </w:r>
          </w:p>
        </w:tc>
        <w:tc>
          <w:tcPr>
            <w:tcW w:w="2344" w:type="dxa"/>
            <w:noWrap w:val="0"/>
            <w:vAlign w:val="center"/>
          </w:tcPr>
          <w:p w14:paraId="2DF384E2">
            <w:pPr>
              <w:jc w:val="center"/>
              <w:rPr>
                <w:rFonts w:hint="eastAsia" w:ascii="黑体" w:hAnsi="黑体" w:eastAsia="黑体"/>
                <w:sz w:val="22"/>
                <w:lang w:val="en-US" w:eastAsia="zh-CN"/>
              </w:rPr>
            </w:pPr>
            <w:r>
              <w:rPr>
                <w:rFonts w:hint="eastAsia" w:ascii="黑体" w:hAnsi="黑体" w:eastAsia="黑体"/>
                <w:sz w:val="22"/>
                <w:lang w:val="en-US" w:eastAsia="zh-CN"/>
              </w:rPr>
              <w:t>违法行为类型</w:t>
            </w:r>
          </w:p>
        </w:tc>
        <w:tc>
          <w:tcPr>
            <w:tcW w:w="1483" w:type="dxa"/>
            <w:noWrap w:val="0"/>
            <w:vAlign w:val="center"/>
          </w:tcPr>
          <w:p w14:paraId="13C96848">
            <w:pPr>
              <w:jc w:val="center"/>
              <w:rPr>
                <w:rFonts w:hint="eastAsia" w:ascii="黑体" w:hAnsi="黑体" w:eastAsia="黑体"/>
                <w:sz w:val="22"/>
                <w:lang w:val="en-US" w:eastAsia="zh-CN"/>
              </w:rPr>
            </w:pPr>
            <w:r>
              <w:rPr>
                <w:rFonts w:hint="eastAsia" w:ascii="黑体" w:hAnsi="黑体" w:eastAsia="黑体"/>
                <w:sz w:val="22"/>
                <w:lang w:val="en-US" w:eastAsia="zh-CN"/>
              </w:rPr>
              <w:t>行政处</w:t>
            </w:r>
          </w:p>
          <w:p w14:paraId="3BE064F8">
            <w:pPr>
              <w:jc w:val="center"/>
              <w:rPr>
                <w:rFonts w:hint="eastAsia" w:ascii="黑体" w:hAnsi="黑体" w:eastAsia="黑体"/>
                <w:sz w:val="22"/>
                <w:lang w:val="en-US" w:eastAsia="zh-CN"/>
              </w:rPr>
            </w:pPr>
            <w:r>
              <w:rPr>
                <w:rFonts w:hint="eastAsia" w:ascii="黑体" w:hAnsi="黑体" w:eastAsia="黑体"/>
                <w:sz w:val="22"/>
                <w:lang w:val="en-US" w:eastAsia="zh-CN"/>
              </w:rPr>
              <w:t>罚内容</w:t>
            </w:r>
          </w:p>
        </w:tc>
        <w:tc>
          <w:tcPr>
            <w:tcW w:w="1816" w:type="dxa"/>
            <w:noWrap w:val="0"/>
            <w:vAlign w:val="center"/>
          </w:tcPr>
          <w:p w14:paraId="27F069A7">
            <w:pPr>
              <w:jc w:val="center"/>
              <w:rPr>
                <w:rFonts w:hint="eastAsia" w:ascii="黑体" w:hAnsi="黑体" w:eastAsia="黑体"/>
                <w:sz w:val="22"/>
                <w:lang w:val="en-US" w:eastAsia="zh-CN"/>
              </w:rPr>
            </w:pPr>
            <w:r>
              <w:rPr>
                <w:rFonts w:hint="eastAsia" w:ascii="黑体" w:hAnsi="黑体" w:eastAsia="黑体"/>
                <w:sz w:val="22"/>
                <w:lang w:val="en-US" w:eastAsia="zh-CN"/>
              </w:rPr>
              <w:t>作出行政处罚决定机关名称</w:t>
            </w:r>
          </w:p>
        </w:tc>
        <w:tc>
          <w:tcPr>
            <w:tcW w:w="1665" w:type="dxa"/>
            <w:noWrap w:val="0"/>
            <w:vAlign w:val="center"/>
          </w:tcPr>
          <w:p w14:paraId="665754D6">
            <w:pPr>
              <w:jc w:val="center"/>
              <w:rPr>
                <w:rFonts w:hint="eastAsia" w:ascii="黑体" w:hAnsi="黑体" w:eastAsia="黑体"/>
                <w:sz w:val="22"/>
                <w:lang w:val="en-US"/>
              </w:rPr>
            </w:pPr>
            <w:r>
              <w:rPr>
                <w:rFonts w:hint="eastAsia" w:ascii="黑体" w:hAnsi="黑体" w:eastAsia="黑体"/>
                <w:sz w:val="22"/>
                <w:lang w:val="en-US" w:eastAsia="zh-CN"/>
              </w:rPr>
              <w:t>作出行政处罚决定日期</w:t>
            </w:r>
          </w:p>
        </w:tc>
        <w:tc>
          <w:tcPr>
            <w:tcW w:w="1652" w:type="dxa"/>
            <w:noWrap w:val="0"/>
            <w:vAlign w:val="center"/>
          </w:tcPr>
          <w:p w14:paraId="79ABC39C">
            <w:pPr>
              <w:jc w:val="center"/>
              <w:rPr>
                <w:rFonts w:hint="eastAsia" w:ascii="黑体" w:hAnsi="黑体" w:eastAsia="黑体"/>
                <w:sz w:val="22"/>
                <w:lang w:val="en-US" w:eastAsia="zh-CN"/>
              </w:rPr>
            </w:pPr>
            <w:r>
              <w:rPr>
                <w:rFonts w:hint="eastAsia" w:ascii="黑体" w:hAnsi="黑体" w:eastAsia="黑体"/>
                <w:sz w:val="22"/>
                <w:lang w:val="en-US" w:eastAsia="zh-CN"/>
              </w:rPr>
              <w:t>公示期限（自公示之日起计算）</w:t>
            </w:r>
          </w:p>
        </w:tc>
        <w:tc>
          <w:tcPr>
            <w:tcW w:w="1167" w:type="dxa"/>
            <w:noWrap w:val="0"/>
            <w:vAlign w:val="center"/>
          </w:tcPr>
          <w:p w14:paraId="196CDBE3">
            <w:pPr>
              <w:jc w:val="center"/>
              <w:rPr>
                <w:rFonts w:hint="eastAsia" w:ascii="黑体" w:hAnsi="黑体" w:eastAsia="黑体"/>
                <w:sz w:val="22"/>
                <w:lang w:val="en-US" w:eastAsia="zh-CN"/>
              </w:rPr>
            </w:pPr>
            <w:r>
              <w:rPr>
                <w:rFonts w:hint="eastAsia" w:ascii="黑体" w:hAnsi="黑体" w:eastAsia="黑体"/>
                <w:sz w:val="22"/>
                <w:lang w:val="en-US" w:eastAsia="zh-CN"/>
              </w:rPr>
              <w:t>备注</w:t>
            </w:r>
          </w:p>
        </w:tc>
      </w:tr>
      <w:tr w14:paraId="11B81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dxa"/>
            <w:noWrap w:val="0"/>
            <w:vAlign w:val="center"/>
          </w:tcPr>
          <w:p w14:paraId="241427AC">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1611" w:type="dxa"/>
            <w:noWrap w:val="0"/>
            <w:vAlign w:val="center"/>
          </w:tcPr>
          <w:p w14:paraId="6E5255FD">
            <w:pPr>
              <w:jc w:val="both"/>
              <w:rPr>
                <w:rFonts w:ascii="仿宋_GB2312" w:hAnsi="仿宋_GB2312" w:eastAsia="仿宋_GB2312" w:cs="仿宋_GB2312"/>
                <w:sz w:val="22"/>
                <w:szCs w:val="22"/>
                <w:vertAlign w:val="baseline"/>
                <w:lang w:val="en-US"/>
              </w:rPr>
            </w:pPr>
            <w:r>
              <w:rPr>
                <w:rFonts w:hint="eastAsia" w:ascii="仿宋_GB2312" w:hAnsi="仿宋_GB2312" w:eastAsia="仿宋_GB2312" w:cs="仿宋_GB2312"/>
                <w:sz w:val="22"/>
                <w:szCs w:val="22"/>
                <w:vertAlign w:val="baseline"/>
                <w:lang w:val="en-US" w:eastAsia="zh-CN"/>
              </w:rPr>
              <w:t>安徽怀宁农村商业银行股份有限公司</w:t>
            </w:r>
          </w:p>
        </w:tc>
        <w:tc>
          <w:tcPr>
            <w:tcW w:w="1701" w:type="dxa"/>
            <w:noWrap w:val="0"/>
            <w:vAlign w:val="center"/>
          </w:tcPr>
          <w:p w14:paraId="0209E648">
            <w:pPr>
              <w:jc w:val="center"/>
              <w:rPr>
                <w:rFonts w:hint="eastAsia" w:ascii="仿宋_GB2312" w:hAnsi="仿宋_GB2312" w:eastAsia="仿宋_GB2312" w:cs="仿宋_GB2312"/>
                <w:sz w:val="22"/>
                <w:szCs w:val="22"/>
                <w:vertAlign w:val="baseline"/>
                <w:lang w:val="en-US"/>
              </w:rPr>
            </w:pPr>
            <w:r>
              <w:rPr>
                <w:rFonts w:hint="eastAsia" w:ascii="仿宋_GB2312" w:hAnsi="仿宋_GB2312" w:eastAsia="仿宋_GB2312" w:cs="仿宋_GB2312"/>
                <w:sz w:val="22"/>
                <w:szCs w:val="22"/>
                <w:vertAlign w:val="baseline"/>
                <w:lang w:val="en-US" w:eastAsia="zh-CN"/>
              </w:rPr>
              <w:t>宜银罚决字〔2025〕1号</w:t>
            </w:r>
          </w:p>
        </w:tc>
        <w:tc>
          <w:tcPr>
            <w:tcW w:w="2344" w:type="dxa"/>
            <w:noWrap w:val="0"/>
            <w:vAlign w:val="center"/>
          </w:tcPr>
          <w:p w14:paraId="64FA571B">
            <w:pPr>
              <w:numPr>
                <w:ilvl w:val="0"/>
                <w:numId w:val="1"/>
              </w:numPr>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大中小微企业贷款统计划分错误；</w:t>
            </w:r>
          </w:p>
          <w:p w14:paraId="0FE8C3F9">
            <w:pPr>
              <w:numPr>
                <w:ilvl w:val="0"/>
                <w:numId w:val="1"/>
              </w:numPr>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部分单位银行结算账户撤销迟备案、个别临时存款账户超期使用、部分个人银行结算账户开立未备案、个别单位银行结算账户开立未备案；</w:t>
            </w:r>
          </w:p>
          <w:p w14:paraId="78AC76BE">
            <w:pPr>
              <w:numPr>
                <w:ilvl w:val="0"/>
                <w:numId w:val="1"/>
              </w:numPr>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柜面现金从业人员办理假币收缴没有当面加盖“假币”字样戳记、冠字号码采集、存储数据不完整、抽取测试的20名现金从业人员人民币实操合格率70%；</w:t>
            </w:r>
          </w:p>
          <w:p w14:paraId="43150010">
            <w:pPr>
              <w:numPr>
                <w:ilvl w:val="0"/>
                <w:numId w:val="1"/>
              </w:numPr>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用户离岗、变动未及时注销或停用、用户未按要求备案；</w:t>
            </w:r>
          </w:p>
          <w:p w14:paraId="402046B1">
            <w:pPr>
              <w:numPr>
                <w:ilvl w:val="0"/>
                <w:numId w:val="1"/>
              </w:numPr>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未按规定开展客户身份重新识别；</w:t>
            </w:r>
          </w:p>
          <w:p w14:paraId="4B12EB9D">
            <w:pPr>
              <w:numPr>
                <w:ilvl w:val="0"/>
                <w:numId w:val="1"/>
              </w:numPr>
              <w:jc w:val="both"/>
              <w:rPr>
                <w:rFonts w:hint="eastAsia" w:ascii="仿宋_GB2312" w:hAnsi="仿宋_GB2312" w:eastAsia="仿宋_GB2312" w:cs="仿宋_GB2312"/>
                <w:sz w:val="22"/>
                <w:szCs w:val="22"/>
                <w:vertAlign w:val="baseline"/>
                <w:lang w:val="en-US"/>
              </w:rPr>
            </w:pPr>
            <w:r>
              <w:rPr>
                <w:rFonts w:hint="eastAsia" w:ascii="仿宋_GB2312" w:hAnsi="仿宋_GB2312" w:eastAsia="仿宋_GB2312" w:cs="仿宋_GB2312"/>
                <w:sz w:val="22"/>
                <w:szCs w:val="22"/>
                <w:vertAlign w:val="baseline"/>
                <w:lang w:val="en-US" w:eastAsia="zh-CN"/>
              </w:rPr>
              <w:t>办理人民银行代理发行库业务计算机终端未采取防范计算机病毒的技术措施、接入人民银行业务领域的通信网络流量未纳入监测、阻断范围、病毒库更新不及时。</w:t>
            </w:r>
          </w:p>
        </w:tc>
        <w:tc>
          <w:tcPr>
            <w:tcW w:w="1483" w:type="dxa"/>
            <w:noWrap w:val="0"/>
            <w:vAlign w:val="center"/>
          </w:tcPr>
          <w:p w14:paraId="53AC6C0A">
            <w:pPr>
              <w:jc w:val="center"/>
              <w:rPr>
                <w:rFonts w:hint="eastAsia" w:ascii="仿宋_GB2312" w:hAnsi="仿宋_GB2312" w:eastAsia="仿宋_GB2312" w:cs="仿宋_GB2312"/>
                <w:sz w:val="22"/>
                <w:szCs w:val="22"/>
                <w:vertAlign w:val="baseline"/>
                <w:lang w:val="en-US"/>
              </w:rPr>
            </w:pPr>
            <w:r>
              <w:rPr>
                <w:rFonts w:hint="eastAsia" w:ascii="仿宋_GB2312" w:hAnsi="仿宋_GB2312" w:eastAsia="仿宋_GB2312" w:cs="仿宋_GB2312"/>
                <w:sz w:val="22"/>
                <w:szCs w:val="22"/>
                <w:vertAlign w:val="baseline"/>
                <w:lang w:val="en-US"/>
              </w:rPr>
              <w:t>警告</w:t>
            </w:r>
            <w:r>
              <w:rPr>
                <w:rFonts w:hint="eastAsia" w:ascii="仿宋_GB2312" w:hAnsi="仿宋_GB2312" w:eastAsia="仿宋_GB2312" w:cs="仿宋_GB2312"/>
                <w:sz w:val="22"/>
                <w:szCs w:val="22"/>
                <w:vertAlign w:val="baseline"/>
                <w:lang w:val="en-US" w:eastAsia="zh-CN"/>
              </w:rPr>
              <w:t>，</w:t>
            </w:r>
            <w:r>
              <w:rPr>
                <w:rFonts w:hint="eastAsia" w:ascii="仿宋_GB2312" w:hAnsi="仿宋_GB2312" w:eastAsia="仿宋_GB2312" w:cs="仿宋_GB2312"/>
                <w:sz w:val="22"/>
                <w:szCs w:val="22"/>
                <w:vertAlign w:val="baseline"/>
                <w:lang w:val="en-US"/>
              </w:rPr>
              <w:t>并处罚款</w:t>
            </w:r>
            <w:r>
              <w:rPr>
                <w:rFonts w:hint="eastAsia" w:ascii="仿宋_GB2312" w:hAnsi="仿宋_GB2312" w:eastAsia="仿宋_GB2312" w:cs="仿宋_GB2312"/>
                <w:sz w:val="22"/>
                <w:szCs w:val="22"/>
                <w:vertAlign w:val="baseline"/>
                <w:lang w:val="en-US" w:eastAsia="zh-CN"/>
              </w:rPr>
              <w:t>64.1</w:t>
            </w:r>
            <w:r>
              <w:rPr>
                <w:rFonts w:hint="eastAsia" w:ascii="仿宋_GB2312" w:hAnsi="仿宋_GB2312" w:eastAsia="仿宋_GB2312" w:cs="仿宋_GB2312"/>
                <w:sz w:val="22"/>
                <w:szCs w:val="22"/>
                <w:vertAlign w:val="baseline"/>
                <w:lang w:val="en-US"/>
              </w:rPr>
              <w:t>万元</w:t>
            </w:r>
            <w:r>
              <w:rPr>
                <w:rFonts w:hint="eastAsia" w:ascii="仿宋_GB2312" w:hAnsi="仿宋_GB2312" w:eastAsia="仿宋_GB2312" w:cs="仿宋_GB2312"/>
                <w:sz w:val="22"/>
                <w:szCs w:val="22"/>
                <w:vertAlign w:val="baseline"/>
                <w:lang w:val="en-US" w:eastAsia="zh-CN"/>
              </w:rPr>
              <w:t>人民币</w:t>
            </w:r>
          </w:p>
        </w:tc>
        <w:tc>
          <w:tcPr>
            <w:tcW w:w="1816" w:type="dxa"/>
            <w:noWrap w:val="0"/>
            <w:vAlign w:val="center"/>
          </w:tcPr>
          <w:p w14:paraId="7E0A213F">
            <w:pPr>
              <w:jc w:val="center"/>
              <w:rPr>
                <w:rFonts w:hint="eastAsia" w:ascii="仿宋_GB2312" w:hAnsi="仿宋_GB2312" w:eastAsia="仿宋_GB2312" w:cs="仿宋_GB2312"/>
                <w:sz w:val="22"/>
                <w:szCs w:val="22"/>
                <w:vertAlign w:val="baseline"/>
                <w:lang w:val="en-US"/>
              </w:rPr>
            </w:pPr>
            <w:r>
              <w:rPr>
                <w:rFonts w:hint="eastAsia" w:ascii="仿宋_GB2312" w:hAnsi="仿宋_GB2312" w:eastAsia="仿宋_GB2312" w:cs="仿宋_GB2312"/>
                <w:sz w:val="22"/>
                <w:szCs w:val="22"/>
                <w:vertAlign w:val="baseline"/>
                <w:lang w:val="en-US"/>
              </w:rPr>
              <w:t>中国人民银行</w:t>
            </w:r>
            <w:r>
              <w:rPr>
                <w:rFonts w:hint="eastAsia" w:ascii="仿宋_GB2312" w:hAnsi="仿宋_GB2312" w:eastAsia="仿宋_GB2312" w:cs="仿宋_GB2312"/>
                <w:sz w:val="22"/>
                <w:szCs w:val="22"/>
                <w:vertAlign w:val="baseline"/>
                <w:lang w:val="en-US" w:eastAsia="zh-CN"/>
              </w:rPr>
              <w:t>安庆市</w:t>
            </w:r>
            <w:r>
              <w:rPr>
                <w:rFonts w:hint="eastAsia" w:ascii="仿宋_GB2312" w:hAnsi="仿宋_GB2312" w:eastAsia="仿宋_GB2312" w:cs="仿宋_GB2312"/>
                <w:sz w:val="22"/>
                <w:szCs w:val="22"/>
                <w:vertAlign w:val="baseline"/>
                <w:lang w:val="en-US"/>
              </w:rPr>
              <w:t>分行</w:t>
            </w:r>
          </w:p>
        </w:tc>
        <w:tc>
          <w:tcPr>
            <w:tcW w:w="1665" w:type="dxa"/>
            <w:noWrap w:val="0"/>
            <w:vAlign w:val="center"/>
          </w:tcPr>
          <w:p w14:paraId="7268F6F0">
            <w:pPr>
              <w:jc w:val="center"/>
              <w:rPr>
                <w:rFonts w:hint="eastAsia" w:ascii="仿宋_GB2312" w:hAnsi="仿宋_GB2312" w:eastAsia="仿宋_GB2312" w:cs="仿宋_GB2312"/>
                <w:sz w:val="22"/>
                <w:szCs w:val="22"/>
                <w:vertAlign w:val="baseline"/>
                <w:lang w:val="en-US"/>
              </w:rPr>
            </w:pPr>
            <w:r>
              <w:rPr>
                <w:rFonts w:hint="eastAsia" w:ascii="仿宋_GB2312" w:hAnsi="仿宋_GB2312" w:eastAsia="仿宋_GB2312" w:cs="仿宋_GB2312"/>
                <w:sz w:val="22"/>
                <w:szCs w:val="22"/>
                <w:vertAlign w:val="baseline"/>
                <w:lang w:val="en-US"/>
              </w:rPr>
              <w:t>202</w:t>
            </w:r>
            <w:r>
              <w:rPr>
                <w:rFonts w:hint="eastAsia" w:ascii="仿宋_GB2312" w:hAnsi="仿宋_GB2312" w:eastAsia="仿宋_GB2312" w:cs="仿宋_GB2312"/>
                <w:sz w:val="22"/>
                <w:szCs w:val="22"/>
                <w:vertAlign w:val="baseline"/>
                <w:lang w:val="en-US" w:eastAsia="zh-CN"/>
              </w:rPr>
              <w:t>5</w:t>
            </w:r>
            <w:r>
              <w:rPr>
                <w:rFonts w:hint="eastAsia" w:ascii="仿宋_GB2312" w:hAnsi="仿宋_GB2312" w:eastAsia="仿宋_GB2312" w:cs="仿宋_GB2312"/>
                <w:sz w:val="22"/>
                <w:szCs w:val="22"/>
                <w:vertAlign w:val="baseline"/>
                <w:lang w:val="en-US"/>
              </w:rPr>
              <w:t>年</w:t>
            </w:r>
            <w:r>
              <w:rPr>
                <w:rFonts w:hint="eastAsia" w:ascii="仿宋_GB2312" w:hAnsi="仿宋_GB2312" w:eastAsia="仿宋_GB2312" w:cs="仿宋_GB2312"/>
                <w:sz w:val="22"/>
                <w:szCs w:val="22"/>
                <w:vertAlign w:val="baseline"/>
                <w:lang w:val="en-US" w:eastAsia="zh-CN"/>
              </w:rPr>
              <w:t>6</w:t>
            </w:r>
            <w:r>
              <w:rPr>
                <w:rFonts w:hint="eastAsia" w:ascii="仿宋_GB2312" w:hAnsi="仿宋_GB2312" w:eastAsia="仿宋_GB2312" w:cs="仿宋_GB2312"/>
                <w:sz w:val="22"/>
                <w:szCs w:val="22"/>
                <w:vertAlign w:val="baseline"/>
                <w:lang w:val="en-US"/>
              </w:rPr>
              <w:t xml:space="preserve">月  </w:t>
            </w:r>
            <w:r>
              <w:rPr>
                <w:rFonts w:hint="eastAsia" w:ascii="仿宋_GB2312" w:hAnsi="仿宋_GB2312" w:eastAsia="仿宋_GB2312" w:cs="仿宋_GB2312"/>
                <w:sz w:val="22"/>
                <w:szCs w:val="22"/>
                <w:vertAlign w:val="baseline"/>
                <w:lang w:val="en-US" w:eastAsia="zh-CN"/>
              </w:rPr>
              <w:t>10</w:t>
            </w:r>
            <w:r>
              <w:rPr>
                <w:rFonts w:hint="eastAsia" w:ascii="仿宋_GB2312" w:hAnsi="仿宋_GB2312" w:eastAsia="仿宋_GB2312" w:cs="仿宋_GB2312"/>
                <w:sz w:val="22"/>
                <w:szCs w:val="22"/>
                <w:vertAlign w:val="baseline"/>
                <w:lang w:val="en-US"/>
              </w:rPr>
              <w:t>日</w:t>
            </w:r>
          </w:p>
        </w:tc>
        <w:tc>
          <w:tcPr>
            <w:tcW w:w="1652" w:type="dxa"/>
            <w:noWrap w:val="0"/>
            <w:vAlign w:val="center"/>
          </w:tcPr>
          <w:p w14:paraId="7E54B974">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3年</w:t>
            </w:r>
          </w:p>
        </w:tc>
        <w:tc>
          <w:tcPr>
            <w:tcW w:w="1167" w:type="dxa"/>
            <w:noWrap w:val="0"/>
            <w:vAlign w:val="center"/>
          </w:tcPr>
          <w:p w14:paraId="281CE18A">
            <w:pPr>
              <w:jc w:val="center"/>
              <w:rPr>
                <w:rFonts w:hint="eastAsia" w:ascii="仿宋_GB2312" w:hAnsi="仿宋_GB2312" w:eastAsia="仿宋_GB2312" w:cs="仿宋_GB2312"/>
                <w:sz w:val="22"/>
                <w:szCs w:val="22"/>
                <w:vertAlign w:val="baseline"/>
                <w:lang w:val="en-US"/>
              </w:rPr>
            </w:pPr>
          </w:p>
        </w:tc>
      </w:tr>
      <w:tr w14:paraId="485FA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dxa"/>
            <w:noWrap w:val="0"/>
            <w:vAlign w:val="center"/>
          </w:tcPr>
          <w:p w14:paraId="5DE8C097">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1611" w:type="dxa"/>
            <w:noWrap w:val="0"/>
            <w:vAlign w:val="center"/>
          </w:tcPr>
          <w:p w14:paraId="4F49D2DA">
            <w:pPr>
              <w:jc w:val="both"/>
              <w:rPr>
                <w:rFonts w:hint="eastAsia" w:ascii="仿宋_GB2312" w:hAnsi="仿宋_GB2312" w:eastAsia="仿宋_GB2312" w:cs="仿宋_GB2312"/>
                <w:sz w:val="22"/>
                <w:szCs w:val="22"/>
                <w:vertAlign w:val="baseline"/>
                <w:lang w:val="en-US"/>
              </w:rPr>
            </w:pPr>
            <w:r>
              <w:rPr>
                <w:rFonts w:hint="eastAsia" w:ascii="仿宋" w:hAnsi="仿宋" w:eastAsia="仿宋" w:cs="仿宋"/>
                <w:sz w:val="22"/>
                <w:szCs w:val="22"/>
                <w:vertAlign w:val="baseline"/>
                <w:lang w:val="en-US" w:eastAsia="zh-CN"/>
              </w:rPr>
              <w:t>黄某</w:t>
            </w:r>
            <w:r>
              <w:rPr>
                <w:rFonts w:hint="eastAsia" w:ascii="仿宋_GB2312" w:hAnsi="仿宋_GB2312" w:eastAsia="仿宋_GB2312" w:cs="仿宋_GB2312"/>
                <w:sz w:val="22"/>
                <w:szCs w:val="22"/>
                <w:vertAlign w:val="baseline"/>
                <w:lang w:val="en-US" w:eastAsia="zh-CN"/>
              </w:rPr>
              <w:t>（时任安徽怀宁农村商业银行股份有限公司运营管理部主要负责人）</w:t>
            </w:r>
          </w:p>
        </w:tc>
        <w:tc>
          <w:tcPr>
            <w:tcW w:w="1701" w:type="dxa"/>
            <w:noWrap w:val="0"/>
            <w:vAlign w:val="center"/>
          </w:tcPr>
          <w:p w14:paraId="1FA669DC">
            <w:pPr>
              <w:jc w:val="center"/>
              <w:rPr>
                <w:rFonts w:hint="eastAsia" w:ascii="仿宋_GB2312" w:hAnsi="仿宋_GB2312" w:eastAsia="仿宋_GB2312" w:cs="仿宋_GB2312"/>
                <w:sz w:val="22"/>
                <w:szCs w:val="22"/>
                <w:vertAlign w:val="baseline"/>
                <w:lang w:val="en-US"/>
              </w:rPr>
            </w:pPr>
            <w:r>
              <w:rPr>
                <w:rFonts w:hint="eastAsia" w:ascii="仿宋_GB2312" w:hAnsi="仿宋_GB2312" w:eastAsia="仿宋_GB2312" w:cs="仿宋_GB2312"/>
                <w:sz w:val="22"/>
                <w:szCs w:val="22"/>
                <w:vertAlign w:val="baseline"/>
                <w:lang w:val="en-US" w:eastAsia="zh-CN"/>
              </w:rPr>
              <w:t>宜银罚决字〔2025〕2号</w:t>
            </w:r>
          </w:p>
        </w:tc>
        <w:tc>
          <w:tcPr>
            <w:tcW w:w="2344" w:type="dxa"/>
            <w:noWrap w:val="0"/>
            <w:vAlign w:val="center"/>
          </w:tcPr>
          <w:p w14:paraId="7FB47072">
            <w:pPr>
              <w:jc w:val="both"/>
              <w:rPr>
                <w:rFonts w:hint="eastAsia" w:ascii="仿宋_GB2312" w:hAnsi="仿宋_GB2312" w:eastAsia="仿宋_GB2312" w:cs="仿宋_GB2312"/>
                <w:sz w:val="22"/>
                <w:szCs w:val="22"/>
                <w:vertAlign w:val="baseline"/>
                <w:lang w:val="en-US"/>
              </w:rPr>
            </w:pPr>
            <w:r>
              <w:rPr>
                <w:rFonts w:hint="eastAsia" w:ascii="仿宋_GB2312" w:hAnsi="仿宋_GB2312" w:eastAsia="仿宋_GB2312" w:cs="仿宋_GB2312"/>
                <w:sz w:val="22"/>
                <w:szCs w:val="22"/>
                <w:vertAlign w:val="baseline"/>
                <w:lang w:val="en-US"/>
              </w:rPr>
              <w:t>对</w:t>
            </w:r>
            <w:r>
              <w:rPr>
                <w:rFonts w:hint="eastAsia" w:ascii="仿宋_GB2312" w:hAnsi="仿宋_GB2312" w:eastAsia="仿宋_GB2312" w:cs="仿宋_GB2312"/>
                <w:sz w:val="22"/>
                <w:szCs w:val="22"/>
                <w:vertAlign w:val="baseline"/>
                <w:lang w:val="en-US" w:eastAsia="zh-CN"/>
              </w:rPr>
              <w:t>安徽怀宁农村商业银行股份有限公司以下违法违规行为负责：未按规定开展</w:t>
            </w:r>
            <w:bookmarkStart w:id="0" w:name="_GoBack"/>
            <w:bookmarkEnd w:id="0"/>
            <w:r>
              <w:rPr>
                <w:rFonts w:hint="eastAsia" w:ascii="仿宋_GB2312" w:hAnsi="仿宋_GB2312" w:eastAsia="仿宋_GB2312" w:cs="仿宋_GB2312"/>
                <w:sz w:val="22"/>
                <w:szCs w:val="22"/>
                <w:vertAlign w:val="baseline"/>
                <w:lang w:val="en-US" w:eastAsia="zh-CN"/>
              </w:rPr>
              <w:t>客户身份重新识别。</w:t>
            </w:r>
          </w:p>
        </w:tc>
        <w:tc>
          <w:tcPr>
            <w:tcW w:w="1483" w:type="dxa"/>
            <w:noWrap w:val="0"/>
            <w:vAlign w:val="center"/>
          </w:tcPr>
          <w:p w14:paraId="6A24DCE1">
            <w:pPr>
              <w:jc w:val="center"/>
              <w:rPr>
                <w:rFonts w:hint="eastAsia" w:ascii="仿宋_GB2312" w:hAnsi="仿宋_GB2312" w:eastAsia="仿宋_GB2312" w:cs="仿宋_GB2312"/>
                <w:sz w:val="22"/>
                <w:szCs w:val="22"/>
                <w:vertAlign w:val="baseline"/>
                <w:lang w:val="en-US"/>
              </w:rPr>
            </w:pPr>
            <w:r>
              <w:rPr>
                <w:rFonts w:hint="eastAsia" w:ascii="仿宋_GB2312" w:hAnsi="仿宋_GB2312" w:eastAsia="仿宋_GB2312" w:cs="仿宋_GB2312"/>
                <w:sz w:val="22"/>
                <w:szCs w:val="22"/>
                <w:vertAlign w:val="baseline"/>
                <w:lang w:val="en-US"/>
              </w:rPr>
              <w:t>罚款</w:t>
            </w:r>
            <w:r>
              <w:rPr>
                <w:rFonts w:hint="eastAsia" w:ascii="仿宋_GB2312" w:hAnsi="仿宋_GB2312" w:eastAsia="仿宋_GB2312" w:cs="仿宋_GB2312"/>
                <w:sz w:val="22"/>
                <w:szCs w:val="22"/>
                <w:vertAlign w:val="baseline"/>
                <w:lang w:val="en-US" w:eastAsia="zh-CN"/>
              </w:rPr>
              <w:t>1</w:t>
            </w:r>
            <w:r>
              <w:rPr>
                <w:rFonts w:hint="eastAsia" w:ascii="仿宋_GB2312" w:hAnsi="仿宋_GB2312" w:eastAsia="仿宋_GB2312" w:cs="仿宋_GB2312"/>
                <w:sz w:val="22"/>
                <w:szCs w:val="22"/>
                <w:vertAlign w:val="baseline"/>
                <w:lang w:val="en-US"/>
              </w:rPr>
              <w:t>万元人民币</w:t>
            </w:r>
          </w:p>
        </w:tc>
        <w:tc>
          <w:tcPr>
            <w:tcW w:w="1816" w:type="dxa"/>
            <w:noWrap w:val="0"/>
            <w:vAlign w:val="center"/>
          </w:tcPr>
          <w:p w14:paraId="319683A1">
            <w:pPr>
              <w:jc w:val="center"/>
              <w:rPr>
                <w:rFonts w:hint="eastAsia" w:ascii="仿宋_GB2312" w:hAnsi="仿宋_GB2312" w:eastAsia="仿宋_GB2312" w:cs="仿宋_GB2312"/>
                <w:sz w:val="22"/>
                <w:szCs w:val="22"/>
                <w:vertAlign w:val="baseline"/>
                <w:lang w:val="en-US"/>
              </w:rPr>
            </w:pPr>
            <w:r>
              <w:rPr>
                <w:rFonts w:hint="eastAsia" w:ascii="仿宋_GB2312" w:hAnsi="仿宋_GB2312" w:eastAsia="仿宋_GB2312" w:cs="仿宋_GB2312"/>
                <w:sz w:val="22"/>
                <w:szCs w:val="22"/>
                <w:vertAlign w:val="baseline"/>
                <w:lang w:val="en-US"/>
              </w:rPr>
              <w:t>中国人民银行</w:t>
            </w:r>
            <w:r>
              <w:rPr>
                <w:rFonts w:hint="eastAsia" w:ascii="仿宋_GB2312" w:hAnsi="仿宋_GB2312" w:eastAsia="仿宋_GB2312" w:cs="仿宋_GB2312"/>
                <w:sz w:val="22"/>
                <w:szCs w:val="22"/>
                <w:vertAlign w:val="baseline"/>
                <w:lang w:val="en-US" w:eastAsia="zh-CN"/>
              </w:rPr>
              <w:t>安庆市</w:t>
            </w:r>
            <w:r>
              <w:rPr>
                <w:rFonts w:hint="eastAsia" w:ascii="仿宋_GB2312" w:hAnsi="仿宋_GB2312" w:eastAsia="仿宋_GB2312" w:cs="仿宋_GB2312"/>
                <w:sz w:val="22"/>
                <w:szCs w:val="22"/>
                <w:vertAlign w:val="baseline"/>
                <w:lang w:val="en-US"/>
              </w:rPr>
              <w:t>分行</w:t>
            </w:r>
          </w:p>
        </w:tc>
        <w:tc>
          <w:tcPr>
            <w:tcW w:w="1665" w:type="dxa"/>
            <w:noWrap w:val="0"/>
            <w:vAlign w:val="center"/>
          </w:tcPr>
          <w:p w14:paraId="28D22FF7">
            <w:pPr>
              <w:jc w:val="center"/>
              <w:rPr>
                <w:rFonts w:hint="eastAsia" w:ascii="仿宋_GB2312" w:hAnsi="仿宋_GB2312" w:eastAsia="仿宋_GB2312" w:cs="仿宋_GB2312"/>
                <w:sz w:val="22"/>
                <w:szCs w:val="22"/>
                <w:vertAlign w:val="baseline"/>
                <w:lang w:val="en-US"/>
              </w:rPr>
            </w:pPr>
            <w:r>
              <w:rPr>
                <w:rFonts w:hint="eastAsia" w:ascii="仿宋_GB2312" w:hAnsi="仿宋_GB2312" w:eastAsia="仿宋_GB2312" w:cs="仿宋_GB2312"/>
                <w:sz w:val="22"/>
                <w:szCs w:val="22"/>
                <w:vertAlign w:val="baseline"/>
                <w:lang w:val="en-US"/>
              </w:rPr>
              <w:t>202</w:t>
            </w:r>
            <w:r>
              <w:rPr>
                <w:rFonts w:hint="eastAsia" w:ascii="仿宋_GB2312" w:hAnsi="仿宋_GB2312" w:eastAsia="仿宋_GB2312" w:cs="仿宋_GB2312"/>
                <w:sz w:val="22"/>
                <w:szCs w:val="22"/>
                <w:vertAlign w:val="baseline"/>
                <w:lang w:val="en-US" w:eastAsia="zh-CN"/>
              </w:rPr>
              <w:t>5</w:t>
            </w:r>
            <w:r>
              <w:rPr>
                <w:rFonts w:hint="eastAsia" w:ascii="仿宋_GB2312" w:hAnsi="仿宋_GB2312" w:eastAsia="仿宋_GB2312" w:cs="仿宋_GB2312"/>
                <w:sz w:val="22"/>
                <w:szCs w:val="22"/>
                <w:vertAlign w:val="baseline"/>
                <w:lang w:val="en-US"/>
              </w:rPr>
              <w:t>年</w:t>
            </w:r>
            <w:r>
              <w:rPr>
                <w:rFonts w:hint="eastAsia" w:ascii="仿宋_GB2312" w:hAnsi="仿宋_GB2312" w:eastAsia="仿宋_GB2312" w:cs="仿宋_GB2312"/>
                <w:sz w:val="22"/>
                <w:szCs w:val="22"/>
                <w:vertAlign w:val="baseline"/>
                <w:lang w:val="en-US" w:eastAsia="zh-CN"/>
              </w:rPr>
              <w:t>6</w:t>
            </w:r>
            <w:r>
              <w:rPr>
                <w:rFonts w:hint="eastAsia" w:ascii="仿宋_GB2312" w:hAnsi="仿宋_GB2312" w:eastAsia="仿宋_GB2312" w:cs="仿宋_GB2312"/>
                <w:sz w:val="22"/>
                <w:szCs w:val="22"/>
                <w:vertAlign w:val="baseline"/>
                <w:lang w:val="en-US"/>
              </w:rPr>
              <w:t xml:space="preserve">月  </w:t>
            </w:r>
            <w:r>
              <w:rPr>
                <w:rFonts w:hint="eastAsia" w:ascii="仿宋_GB2312" w:hAnsi="仿宋_GB2312" w:eastAsia="仿宋_GB2312" w:cs="仿宋_GB2312"/>
                <w:sz w:val="22"/>
                <w:szCs w:val="22"/>
                <w:vertAlign w:val="baseline"/>
                <w:lang w:val="en-US" w:eastAsia="zh-CN"/>
              </w:rPr>
              <w:t>10</w:t>
            </w:r>
            <w:r>
              <w:rPr>
                <w:rFonts w:hint="eastAsia" w:ascii="仿宋_GB2312" w:hAnsi="仿宋_GB2312" w:eastAsia="仿宋_GB2312" w:cs="仿宋_GB2312"/>
                <w:sz w:val="22"/>
                <w:szCs w:val="22"/>
                <w:vertAlign w:val="baseline"/>
                <w:lang w:val="en-US"/>
              </w:rPr>
              <w:t>日</w:t>
            </w:r>
          </w:p>
        </w:tc>
        <w:tc>
          <w:tcPr>
            <w:tcW w:w="1652" w:type="dxa"/>
            <w:noWrap w:val="0"/>
            <w:vAlign w:val="center"/>
          </w:tcPr>
          <w:p w14:paraId="40DE8FA8">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3年</w:t>
            </w:r>
          </w:p>
        </w:tc>
        <w:tc>
          <w:tcPr>
            <w:tcW w:w="1167" w:type="dxa"/>
            <w:noWrap w:val="0"/>
            <w:vAlign w:val="center"/>
          </w:tcPr>
          <w:p w14:paraId="30E366ED">
            <w:pPr>
              <w:jc w:val="center"/>
              <w:rPr>
                <w:rFonts w:hint="eastAsia" w:ascii="仿宋_GB2312" w:hAnsi="仿宋_GB2312" w:eastAsia="仿宋_GB2312" w:cs="仿宋_GB2312"/>
                <w:sz w:val="22"/>
                <w:szCs w:val="22"/>
                <w:vertAlign w:val="baseline"/>
                <w:lang w:val="en-US"/>
              </w:rPr>
            </w:pPr>
          </w:p>
        </w:tc>
      </w:tr>
    </w:tbl>
    <w:p w14:paraId="1A036E55"/>
    <w:sectPr>
      <w:pgSz w:w="16838" w:h="11906"/>
      <w:pgMar w:top="1633" w:right="1440" w:bottom="1689" w:left="144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B0604020202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B06D1"/>
    <w:rsid w:val="262A29F3"/>
    <w:rsid w:val="43316E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qFormat/>
    <w:uiPriority w:val="0"/>
    <w:pPr>
      <w:widowControl w:val="0"/>
      <w:jc w:val="both"/>
    </w:pPr>
    <w:rPr>
      <w:rFonts w:hint="default" w:ascii="Times New Roman" w:hAnsi="Times New Roman" w:eastAsia="宋体" w:cs="Times New Roman"/>
      <w:sz w:val="21"/>
      <w:lang w:val="en-US" w:eastAsia="zh-CN"/>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qFormat/>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character" w:customStyle="1" w:styleId="182">
    <w:name w:val="默认段落字体1"/>
    <w:link w:val="1"/>
    <w:qFormat/>
    <w:uiPriority w:val="0"/>
  </w:style>
  <w:style w:type="table" w:customStyle="1" w:styleId="183">
    <w:name w:val="普通表格1"/>
    <w:unhideWhenUsed/>
    <w:qFormat/>
    <w:uiPriority w:val="9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4">
    <w:name w:val="页脚1"/>
    <w:basedOn w:val="1"/>
    <w:qFormat/>
    <w:uiPriority w:val="0"/>
    <w:pPr>
      <w:tabs>
        <w:tab w:val="center" w:pos="4153"/>
        <w:tab w:val="right" w:pos="8306"/>
      </w:tabs>
      <w:jc w:val="left"/>
    </w:pPr>
    <w:rPr>
      <w:sz w:val="18"/>
    </w:rPr>
  </w:style>
  <w:style w:type="paragraph" w:customStyle="1" w:styleId="185">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529</Words>
  <Characters>552</Characters>
  <TotalTime>2722</TotalTime>
  <ScaleCrop>false</ScaleCrop>
  <LinksUpToDate>false</LinksUpToDate>
  <CharactersWithSpaces>556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len</dc:creator>
  <cp:lastModifiedBy>Administrator</cp:lastModifiedBy>
  <cp:lastPrinted>2025-06-13T02:21:03Z</cp:lastPrinted>
  <dcterms:modified xsi:type="dcterms:W3CDTF">2025-06-13T02:24:29Z</dcterms:modified>
  <dc:title>行政处罚决定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eyJoZGlkIjoiYWM1NDNlYmNkNGFhYWE5OGE0OTZhYjg1YzYyYzUxMDUifQ==</vt:lpwstr>
  </property>
  <property fmtid="{D5CDD505-2E9C-101B-9397-08002B2CF9AE}" pid="3" name="KSOProductBuildVer">
    <vt:lpwstr>2052-12.1.0.21541</vt:lpwstr>
  </property>
  <property fmtid="{D5CDD505-2E9C-101B-9397-08002B2CF9AE}" pid="4" name="ICV">
    <vt:lpwstr>00A5AE565ED1444CA5ED8E6A5068D854_12</vt:lpwstr>
  </property>
</Properties>
</file>